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рішенням</w:t>
      </w:r>
      <w:r w:rsidRPr="008F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>Білозерської селищної ради</w:t>
      </w:r>
    </w:p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29 травня 2020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</w:p>
    <w:p w:rsidR="00B9249E" w:rsidRPr="00956F04" w:rsidRDefault="00B9249E" w:rsidP="00B9249E">
      <w:pPr>
        <w:spacing w:after="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6F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ІНФОРМАЦІЙНА КАРТКА АДМІНІСТРАТИВНОЇ ПОСЛУГИ</w:t>
      </w:r>
    </w:p>
    <w:p w:rsidR="00B9249E" w:rsidRPr="00956F04" w:rsidRDefault="00B9249E" w:rsidP="00B9249E">
      <w:pPr>
        <w:spacing w:after="0"/>
        <w:jc w:val="center"/>
        <w:rPr>
          <w:rFonts w:ascii="Times New Roman" w:hAnsi="Times New Roman" w:cs="Times New Roman"/>
          <w:color w:val="auto"/>
          <w:lang w:val="uk-UA"/>
        </w:rPr>
      </w:pPr>
      <w:r w:rsidRPr="00956F04">
        <w:rPr>
          <w:rFonts w:ascii="Times New Roman" w:eastAsia="Times New Roman" w:hAnsi="Times New Roman" w:cs="Times New Roman"/>
          <w:b/>
          <w:color w:val="auto"/>
          <w:u w:val="single"/>
          <w:lang w:val="uk-UA"/>
        </w:rPr>
        <w:t xml:space="preserve">02-07 </w:t>
      </w:r>
      <w:proofErr w:type="spellStart"/>
      <w:r w:rsidRPr="00956F04">
        <w:rPr>
          <w:rFonts w:ascii="Times New Roman" w:hAnsi="Times New Roman" w:cs="Times New Roman"/>
          <w:b/>
          <w:color w:val="auto"/>
          <w:u w:val="single"/>
        </w:rPr>
        <w:t>Скасування</w:t>
      </w:r>
      <w:proofErr w:type="spellEnd"/>
      <w:r w:rsidRPr="00956F04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956F04">
        <w:rPr>
          <w:rFonts w:ascii="Times New Roman" w:hAnsi="Times New Roman" w:cs="Times New Roman"/>
          <w:b/>
          <w:color w:val="auto"/>
          <w:u w:val="single"/>
        </w:rPr>
        <w:t>запису</w:t>
      </w:r>
      <w:proofErr w:type="spellEnd"/>
      <w:r w:rsidRPr="00956F04">
        <w:rPr>
          <w:rFonts w:ascii="Times New Roman" w:hAnsi="Times New Roman" w:cs="Times New Roman"/>
          <w:b/>
          <w:color w:val="auto"/>
          <w:u w:val="single"/>
        </w:rPr>
        <w:t xml:space="preserve"> Державного </w:t>
      </w:r>
      <w:proofErr w:type="spellStart"/>
      <w:r w:rsidRPr="00956F04">
        <w:rPr>
          <w:rFonts w:ascii="Times New Roman" w:hAnsi="Times New Roman" w:cs="Times New Roman"/>
          <w:b/>
          <w:color w:val="auto"/>
          <w:u w:val="single"/>
        </w:rPr>
        <w:t>реєстру</w:t>
      </w:r>
      <w:proofErr w:type="spellEnd"/>
      <w:r w:rsidRPr="00956F04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956F04">
        <w:rPr>
          <w:rFonts w:ascii="Times New Roman" w:hAnsi="Times New Roman" w:cs="Times New Roman"/>
          <w:b/>
          <w:color w:val="auto"/>
          <w:u w:val="single"/>
        </w:rPr>
        <w:t>речових</w:t>
      </w:r>
      <w:proofErr w:type="spellEnd"/>
      <w:r w:rsidRPr="00956F04">
        <w:rPr>
          <w:rFonts w:ascii="Times New Roman" w:hAnsi="Times New Roman" w:cs="Times New Roman"/>
          <w:b/>
          <w:color w:val="auto"/>
          <w:u w:val="single"/>
        </w:rPr>
        <w:t xml:space="preserve"> прав на </w:t>
      </w:r>
      <w:proofErr w:type="spellStart"/>
      <w:r w:rsidRPr="00956F04">
        <w:rPr>
          <w:rFonts w:ascii="Times New Roman" w:hAnsi="Times New Roman" w:cs="Times New Roman"/>
          <w:b/>
          <w:color w:val="auto"/>
          <w:u w:val="single"/>
        </w:rPr>
        <w:t>нерухоме</w:t>
      </w:r>
      <w:proofErr w:type="spellEnd"/>
      <w:r w:rsidRPr="00956F04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956F04">
        <w:rPr>
          <w:rFonts w:ascii="Times New Roman" w:hAnsi="Times New Roman" w:cs="Times New Roman"/>
          <w:b/>
          <w:color w:val="auto"/>
          <w:u w:val="single"/>
        </w:rPr>
        <w:t>майно</w:t>
      </w:r>
      <w:proofErr w:type="spellEnd"/>
    </w:p>
    <w:p w:rsidR="00B9249E" w:rsidRPr="001B175B" w:rsidRDefault="00B9249E" w:rsidP="00B9249E">
      <w:pPr>
        <w:spacing w:after="46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  <w:r w:rsidRPr="001B175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</w:t>
      </w:r>
      <w:proofErr w:type="spellStart"/>
      <w:r w:rsidRPr="001B175B">
        <w:rPr>
          <w:rFonts w:ascii="Times New Roman" w:eastAsia="Times New Roman" w:hAnsi="Times New Roman" w:cs="Times New Roman"/>
          <w:color w:val="auto"/>
          <w:sz w:val="18"/>
          <w:szCs w:val="18"/>
        </w:rPr>
        <w:t>назва</w:t>
      </w:r>
      <w:proofErr w:type="spellEnd"/>
      <w:r w:rsidRPr="001B175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1B175B">
        <w:rPr>
          <w:rFonts w:ascii="Times New Roman" w:eastAsia="Times New Roman" w:hAnsi="Times New Roman" w:cs="Times New Roman"/>
          <w:color w:val="auto"/>
          <w:sz w:val="18"/>
          <w:szCs w:val="18"/>
        </w:rPr>
        <w:t>адміністративної</w:t>
      </w:r>
      <w:proofErr w:type="spellEnd"/>
      <w:r w:rsidRPr="001B175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1B175B">
        <w:rPr>
          <w:rFonts w:ascii="Times New Roman" w:eastAsia="Times New Roman" w:hAnsi="Times New Roman" w:cs="Times New Roman"/>
          <w:color w:val="auto"/>
          <w:sz w:val="18"/>
          <w:szCs w:val="18"/>
        </w:rPr>
        <w:t>послуги</w:t>
      </w:r>
      <w:proofErr w:type="spellEnd"/>
      <w:r w:rsidRPr="001B175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) </w:t>
      </w:r>
    </w:p>
    <w:p w:rsidR="00B9249E" w:rsidRPr="00956F04" w:rsidRDefault="00B9249E" w:rsidP="00B9249E">
      <w:pPr>
        <w:spacing w:after="0"/>
        <w:jc w:val="center"/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</w:pPr>
      <w:r w:rsidRPr="00956F04"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  <w:t>Білозерська селищна рада</w:t>
      </w:r>
    </w:p>
    <w:p w:rsidR="00B9249E" w:rsidRPr="001B175B" w:rsidRDefault="00B9249E" w:rsidP="00B9249E">
      <w:pPr>
        <w:jc w:val="center"/>
        <w:rPr>
          <w:rFonts w:ascii="Times New Roman" w:hAnsi="Times New Roman"/>
          <w:i/>
          <w:color w:val="auto"/>
          <w:sz w:val="18"/>
          <w:szCs w:val="18"/>
          <w:lang w:val="uk-UA"/>
        </w:rPr>
      </w:pPr>
      <w:r w:rsidRPr="001B175B">
        <w:rPr>
          <w:rFonts w:ascii="Times New Roman" w:hAnsi="Times New Roman"/>
          <w:i/>
          <w:color w:val="auto"/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Style w:val="TableGrid"/>
        <w:tblW w:w="9887" w:type="dxa"/>
        <w:tblInd w:w="0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7"/>
        <w:gridCol w:w="6622"/>
      </w:tblGrid>
      <w:tr w:rsidR="00B9249E" w:rsidRPr="00D15D5F" w:rsidTr="00BB4FF8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9E" w:rsidRPr="00D15D5F" w:rsidRDefault="00B9249E" w:rsidP="00BB4F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49E" w:rsidRPr="00956F04" w:rsidRDefault="00B9249E" w:rsidP="00BB4FF8">
            <w:pPr>
              <w:ind w:left="97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Інформація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про центр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B9249E" w:rsidRPr="009348FB" w:rsidTr="00BB4FF8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Центр надання адміністративних послуг виконавчого комітету Білозерської селищної ради</w:t>
            </w:r>
          </w:p>
        </w:tc>
      </w:tr>
      <w:tr w:rsidR="00B9249E" w:rsidRPr="00D15D5F" w:rsidTr="00BB4FF8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Місцезнаходження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ЦНАП 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75000, смт  Білозерка, вул. Свободи, 83 (перший поверх)</w:t>
            </w:r>
          </w:p>
        </w:tc>
      </w:tr>
      <w:tr w:rsidR="00B9249E" w:rsidRPr="00D15D5F" w:rsidTr="00BB4FF8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spacing w:line="27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Інфо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режиму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ЦНАП </w:t>
            </w: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Графік роботи відділу ЦНАП виконавчого комітету Білозерської селищної ради:     </w:t>
            </w:r>
          </w:p>
          <w:p w:rsidR="00B9249E" w:rsidRPr="003E2F53" w:rsidRDefault="00B9249E" w:rsidP="00BB4FF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Понеділок:</w:t>
            </w:r>
            <w:r w:rsidRPr="003E2F53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 8.00 до 17.00</w:t>
            </w:r>
          </w:p>
          <w:p w:rsidR="00B9249E" w:rsidRPr="003E2F53" w:rsidRDefault="00B9249E" w:rsidP="00BB4FF8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  <w:lang w:val="uk-UA"/>
              </w:rPr>
            </w:pPr>
            <w:r w:rsidRPr="003E2F53">
              <w:rPr>
                <w:sz w:val="20"/>
                <w:szCs w:val="20"/>
                <w:lang w:val="uk-UA"/>
              </w:rPr>
              <w:t>Вівторок:</w:t>
            </w:r>
            <w:r w:rsidRPr="003E2F53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B9249E" w:rsidRPr="003E2F53" w:rsidRDefault="00B9249E" w:rsidP="00BB4FF8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  <w:lang w:val="uk-UA"/>
              </w:rPr>
            </w:pPr>
            <w:r w:rsidRPr="003E2F53">
              <w:rPr>
                <w:sz w:val="20"/>
                <w:szCs w:val="20"/>
                <w:lang w:val="uk-UA"/>
              </w:rPr>
              <w:t>Середа:</w:t>
            </w:r>
            <w:r w:rsidRPr="003E2F53">
              <w:rPr>
                <w:sz w:val="20"/>
                <w:szCs w:val="20"/>
                <w:lang w:val="uk-UA"/>
              </w:rPr>
              <w:tab/>
            </w:r>
            <w:r w:rsidRPr="003E2F53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B9249E" w:rsidRPr="003E2F53" w:rsidRDefault="00B9249E" w:rsidP="00BB4FF8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  <w:lang w:val="uk-UA"/>
              </w:rPr>
            </w:pPr>
            <w:r w:rsidRPr="003E2F53">
              <w:rPr>
                <w:sz w:val="20"/>
                <w:szCs w:val="20"/>
                <w:lang w:val="uk-UA"/>
              </w:rPr>
              <w:t>Четвер:</w:t>
            </w:r>
            <w:r w:rsidRPr="003E2F53">
              <w:rPr>
                <w:sz w:val="20"/>
                <w:szCs w:val="20"/>
                <w:lang w:val="uk-UA"/>
              </w:rPr>
              <w:tab/>
            </w:r>
            <w:r w:rsidRPr="003E2F53">
              <w:rPr>
                <w:sz w:val="20"/>
                <w:szCs w:val="20"/>
                <w:lang w:val="uk-UA"/>
              </w:rPr>
              <w:tab/>
              <w:t>з 8.00 до 20.00</w:t>
            </w:r>
          </w:p>
          <w:p w:rsidR="00B9249E" w:rsidRPr="003E2F53" w:rsidRDefault="00B9249E" w:rsidP="00BB4FF8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  <w:lang w:val="uk-UA"/>
              </w:rPr>
            </w:pPr>
            <w:r w:rsidRPr="003E2F53">
              <w:rPr>
                <w:sz w:val="20"/>
                <w:szCs w:val="20"/>
                <w:lang w:val="uk-UA"/>
              </w:rPr>
              <w:t>П’ятниця:</w:t>
            </w:r>
            <w:r w:rsidRPr="003E2F53">
              <w:rPr>
                <w:sz w:val="20"/>
                <w:szCs w:val="20"/>
                <w:lang w:val="uk-UA"/>
              </w:rPr>
              <w:tab/>
              <w:t>з 8.00 до 15.45</w:t>
            </w:r>
          </w:p>
          <w:p w:rsidR="00B9249E" w:rsidRPr="003E2F53" w:rsidRDefault="00B9249E" w:rsidP="00BB4FF8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  <w:lang w:val="uk-UA"/>
              </w:rPr>
            </w:pPr>
            <w:r w:rsidRPr="003E2F53">
              <w:rPr>
                <w:sz w:val="20"/>
                <w:szCs w:val="20"/>
                <w:lang w:val="uk-UA"/>
              </w:rPr>
              <w:t>без перерви на обід</w:t>
            </w:r>
          </w:p>
          <w:p w:rsidR="00B9249E" w:rsidRPr="003E2F53" w:rsidRDefault="00B9249E" w:rsidP="00BB4FF8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  <w:lang w:val="uk-UA"/>
              </w:rPr>
            </w:pPr>
            <w:r w:rsidRPr="003E2F53">
              <w:rPr>
                <w:sz w:val="20"/>
                <w:szCs w:val="20"/>
                <w:lang w:val="uk-UA"/>
              </w:rPr>
              <w:t>Субота:                    вихідний</w:t>
            </w:r>
          </w:p>
          <w:p w:rsidR="00B9249E" w:rsidRPr="003E2F53" w:rsidRDefault="00B9249E" w:rsidP="00BB4FF8">
            <w:pPr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Неділя:                  вихідний</w:t>
            </w:r>
          </w:p>
        </w:tc>
      </w:tr>
      <w:tr w:rsidR="00B9249E" w:rsidRPr="00D15D5F" w:rsidTr="00BB4FF8">
        <w:trPr>
          <w:trHeight w:val="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spacing w:line="23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Телефон/факс (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довідки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), адреса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електронної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пошти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веб-сайт</w:t>
            </w:r>
            <w:r w:rsidRPr="003E2F5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ЦНАП </w:t>
            </w:r>
            <w:r w:rsidRPr="003E2F5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(0547) 33-8-14, +380997007438</w:t>
            </w:r>
          </w:p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Е-mail:posbel@ukr.net </w:t>
            </w:r>
          </w:p>
          <w:p w:rsidR="00B9249E" w:rsidRPr="003E2F53" w:rsidRDefault="00B9249E" w:rsidP="00BB4FF8">
            <w:pPr>
              <w:ind w:right="4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Офіційний сайт: </w:t>
            </w:r>
            <w:hyperlink r:id="rId5" w:history="1">
              <w:r w:rsidRPr="003E2F5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http://bilozerka-otg.gov.ua</w:t>
              </w:r>
            </w:hyperlink>
          </w:p>
        </w:tc>
      </w:tr>
      <w:tr w:rsidR="00B9249E" w:rsidRPr="00D15D5F" w:rsidTr="00BB4FF8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9E" w:rsidRPr="00D15D5F" w:rsidRDefault="00B9249E" w:rsidP="00BB4F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49E" w:rsidRPr="00956F04" w:rsidRDefault="00B9249E" w:rsidP="00BB4FF8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Нормативні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акти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якими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регламентується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</w:p>
        </w:tc>
      </w:tr>
      <w:tr w:rsidR="00B9249E" w:rsidRPr="00D15D5F" w:rsidTr="00BB4FF8">
        <w:trPr>
          <w:trHeight w:val="5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Закони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pStyle w:val="a4"/>
              <w:tabs>
                <w:tab w:val="left" w:pos="217"/>
              </w:tabs>
              <w:spacing w:after="0"/>
              <w:ind w:left="0" w:firstLine="21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Закон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державну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їх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обтяжень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»</w:t>
            </w:r>
          </w:p>
        </w:tc>
      </w:tr>
      <w:tr w:rsidR="00B9249E" w:rsidRPr="00D15D5F" w:rsidTr="00BB4FF8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Кабінету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Міністрів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Постанова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Кабінету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Міністрів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25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грудня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     2015 року № 1127 «Про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обтяжень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»,</w:t>
            </w:r>
          </w:p>
          <w:p w:rsidR="00B9249E" w:rsidRPr="003E2F53" w:rsidRDefault="00B9249E" w:rsidP="00BB4FF8">
            <w:pPr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постанова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Кабінету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Міністрів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26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жовтня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2011 року       № 1141 «Про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затвердження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Порядку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ведення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</w:t>
            </w:r>
          </w:p>
        </w:tc>
      </w:tr>
      <w:tr w:rsidR="00B9249E" w:rsidRPr="00D15D5F" w:rsidTr="00BB4FF8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left="5" w:right="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центральних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органів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виконавчої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влади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pStyle w:val="a4"/>
              <w:tabs>
                <w:tab w:val="left" w:pos="0"/>
              </w:tabs>
              <w:spacing w:after="0"/>
              <w:ind w:left="9" w:firstLine="21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Наказ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Міністерства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юстиції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21 листопада 2016 року № 3276/5 «Про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затвердження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Вимог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оформлення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заяв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рішень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сфері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їх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обтяжень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»,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зареєстрований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Міністерстві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юстиції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21 листопада 2016 року за № 1504/29634</w:t>
            </w:r>
          </w:p>
        </w:tc>
      </w:tr>
      <w:tr w:rsidR="00B9249E" w:rsidRPr="00D15D5F" w:rsidTr="00BB4FF8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9E" w:rsidRPr="00D15D5F" w:rsidRDefault="00B9249E" w:rsidP="00BB4F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49E" w:rsidRPr="00956F04" w:rsidRDefault="00B9249E" w:rsidP="00BB4FF8">
            <w:pPr>
              <w:ind w:left="171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Умови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отримання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956F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6F04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</w:p>
        </w:tc>
      </w:tr>
      <w:tr w:rsidR="00B9249E" w:rsidRPr="00D15D5F" w:rsidTr="00BB4FF8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Підстава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одержання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firstLine="1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uk-UA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заявника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суб’єкта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прав, державного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реєстратора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визначених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Законом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обтяжень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»*</w:t>
            </w:r>
          </w:p>
        </w:tc>
      </w:tr>
      <w:tr w:rsidR="00B9249E" w:rsidRPr="00D15D5F" w:rsidTr="00BB4FF8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spacing w:line="238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Вичерпний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а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також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вимоги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 них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1B175B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внесення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запису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скасування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:</w:t>
            </w:r>
          </w:p>
          <w:p w:rsidR="00B9249E" w:rsidRPr="001B175B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заява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скасування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скасування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рішення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реєстратора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B9249E" w:rsidRPr="001B175B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заяви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державний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реєстратор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встановлює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особу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заявника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B9249E" w:rsidRPr="001B175B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 паспортом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громадянина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іншим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документом,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посвідчує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особу та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громадянство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передбаченим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Законом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Єдиний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державний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демографічний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підтверджують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громадянство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посвідчують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особу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чи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спеціальний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статус».</w:t>
            </w:r>
          </w:p>
          <w:p w:rsidR="00B9249E" w:rsidRPr="001B175B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 xml:space="preserve">Особа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іноземця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особа без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громадянства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встановлюються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паспортним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документом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іноземця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B9249E" w:rsidRPr="001B175B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заяви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уповноваженою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 те особою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державний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реєстратор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уповноважена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перевіряє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обсяг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повноважень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такої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на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підставі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документа,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діяти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імені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іншої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особи.</w:t>
            </w:r>
          </w:p>
          <w:p w:rsidR="00B9249E" w:rsidRPr="001B175B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Обсяг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повноважень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уповноваженої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діяти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імені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перевіряється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підставі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які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за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допомогою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порталу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електронних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сервісів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)</w:t>
            </w:r>
          </w:p>
          <w:p w:rsidR="00B9249E" w:rsidRPr="003E2F53" w:rsidRDefault="00B9249E" w:rsidP="00BB4FF8">
            <w:pPr>
              <w:ind w:firstLine="2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рішення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суду,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набрало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законної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сили</w:t>
            </w:r>
            <w:proofErr w:type="spellEnd"/>
            <w:r w:rsidRPr="001B175B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</w:tc>
      </w:tr>
      <w:tr w:rsidR="00B9249E" w:rsidRPr="00D15D5F" w:rsidTr="00BB4FF8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spacing w:line="237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Порядок та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спосіб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подаються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заявником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особисто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уповноваженою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ним особою 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паперовій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формі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9249E" w:rsidRPr="00D15D5F" w:rsidTr="00BB4FF8">
        <w:trPr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Платність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безоплатність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Адміністративна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послуга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надається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безоплатно</w:t>
            </w:r>
            <w:proofErr w:type="spellEnd"/>
          </w:p>
        </w:tc>
      </w:tr>
      <w:tr w:rsidR="00B9249E" w:rsidRPr="00D15D5F" w:rsidTr="00BB4FF8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</w:rPr>
              <w:t xml:space="preserve">11.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</w:rPr>
              <w:t xml:space="preserve">Строк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53">
              <w:rPr>
                <w:rFonts w:ascii="Times New Roman" w:hAnsi="Times New Roman" w:cs="Times New Roman"/>
                <w:color w:val="auto"/>
              </w:rPr>
              <w:t xml:space="preserve">У строк,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що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не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перевищує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2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години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з часу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реєстрації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відповідного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рішення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суду в Державному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реєстрі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майно</w:t>
            </w:r>
            <w:proofErr w:type="spellEnd"/>
          </w:p>
        </w:tc>
      </w:tr>
      <w:tr w:rsidR="00B9249E" w:rsidRPr="00D15D5F" w:rsidTr="00BB4FF8">
        <w:trPr>
          <w:trHeight w:val="9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</w:rPr>
              <w:t xml:space="preserve">12.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lang w:eastAsia="uk-UA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Перелік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підстав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 xml:space="preserve"> для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зупинення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розгляду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документів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поданих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 xml:space="preserve"> для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державної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lang w:eastAsia="uk-UA"/>
              </w:rPr>
              <w:t>реєстрації</w:t>
            </w:r>
            <w:proofErr w:type="spellEnd"/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53">
              <w:rPr>
                <w:rFonts w:ascii="Times New Roman" w:hAnsi="Times New Roman" w:cs="Times New Roman"/>
                <w:color w:val="auto"/>
              </w:rPr>
              <w:t xml:space="preserve">1)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подання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документів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для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державної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реєстрації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прав не в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повному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обсязі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передбаченому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законодавством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9249E" w:rsidRPr="003E2F53" w:rsidRDefault="00B9249E" w:rsidP="00BB4F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53">
              <w:rPr>
                <w:rFonts w:ascii="Times New Roman" w:hAnsi="Times New Roman" w:cs="Times New Roman"/>
                <w:color w:val="auto"/>
              </w:rPr>
              <w:t xml:space="preserve">2)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неподання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заявником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чи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неотримання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державним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реєстратором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3E2F53">
              <w:rPr>
                <w:rFonts w:ascii="Times New Roman" w:hAnsi="Times New Roman" w:cs="Times New Roman"/>
                <w:color w:val="auto"/>
              </w:rPr>
              <w:t>у порядку</w:t>
            </w:r>
            <w:proofErr w:type="gramEnd"/>
            <w:r w:rsidRPr="003E2F53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визначеному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пункті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3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частини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третьої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статті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10 Закону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України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«Про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обтяжень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»,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інформації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зареєстровані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до 01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січня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2013 року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речові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права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відповідне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якщо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наявність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такої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інформації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є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необхідною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для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державної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реєстрації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прав;</w:t>
            </w:r>
          </w:p>
          <w:p w:rsidR="00B9249E" w:rsidRPr="003E2F53" w:rsidRDefault="00B9249E" w:rsidP="00BB4F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53">
              <w:rPr>
                <w:rFonts w:ascii="Times New Roman" w:hAnsi="Times New Roman" w:cs="Times New Roman"/>
                <w:color w:val="auto"/>
              </w:rPr>
              <w:t xml:space="preserve">3)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направлення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запиту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до суду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отримання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копії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</w:rPr>
              <w:t>рішення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</w:rPr>
              <w:t xml:space="preserve"> суду</w:t>
            </w:r>
          </w:p>
        </w:tc>
      </w:tr>
      <w:tr w:rsidR="00B9249E" w:rsidRPr="00D15D5F" w:rsidTr="00BB4FF8">
        <w:trPr>
          <w:trHeight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13.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Перелік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відмови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внесенні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запису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скасування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може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бути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відмовлено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якщо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:</w:t>
            </w:r>
          </w:p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 подана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неналежною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особою;</w:t>
            </w:r>
          </w:p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відповідають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вимогам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встановленим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Законом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обтяжень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»;</w:t>
            </w:r>
          </w:p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дають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змоги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встановити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набуття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зміну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припинення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обтяження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наявні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суперечності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між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заявленими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вже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зареєстрованими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речовими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правами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обтяженнями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після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завершення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строку,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встановленого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частиною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третьою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статті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 Закону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обтяжень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», не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усунені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обставини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були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підставою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прийняття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зупинення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розгляду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заяви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прав;</w:t>
            </w:r>
          </w:p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заявником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подано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підставі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яких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речове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право,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обтяження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вже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зареєстровано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Державному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прав;</w:t>
            </w:r>
          </w:p>
          <w:p w:rsidR="00B9249E" w:rsidRPr="003E2F53" w:rsidRDefault="00B9249E" w:rsidP="00BB4FF8">
            <w:pPr>
              <w:tabs>
                <w:tab w:val="left" w:pos="1565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Порядку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обтяжень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затвердженого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постановою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Кабінету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Міністрів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25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грудня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2015 року «Про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обтяжень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 (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змінами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Державного земельного кадастру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останньому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земельну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ділянку</w:t>
            </w:r>
            <w:proofErr w:type="spellEnd"/>
          </w:p>
        </w:tc>
      </w:tr>
      <w:tr w:rsidR="00B9249E" w:rsidRPr="00D15D5F" w:rsidTr="00BB4FF8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14.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9E" w:rsidRPr="003E2F53" w:rsidRDefault="00B9249E" w:rsidP="00BB4FF8">
            <w:pPr>
              <w:tabs>
                <w:tab w:val="left" w:pos="358"/>
                <w:tab w:val="left" w:pos="449"/>
              </w:tabs>
              <w:ind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відповідного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Державного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r w:rsidRPr="003E2F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  <w:t>та</w:t>
            </w: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витяг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 Державного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 в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паперовій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(за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бажанням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заявника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B9249E" w:rsidRPr="003E2F53" w:rsidRDefault="00B9249E" w:rsidP="00BB4FF8">
            <w:pPr>
              <w:ind w:firstLine="15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відмову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скасуванні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запису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майно</w:t>
            </w:r>
            <w:proofErr w:type="spellEnd"/>
          </w:p>
        </w:tc>
      </w:tr>
      <w:tr w:rsidR="00B9249E" w:rsidRPr="00D15D5F" w:rsidTr="00BB4FF8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Способи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відповіді</w:t>
            </w:r>
            <w:proofErr w:type="spellEnd"/>
            <w:r w:rsidRPr="003E2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(результату)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E" w:rsidRPr="003E2F53" w:rsidRDefault="00B9249E" w:rsidP="00BB4FF8">
            <w:pPr>
              <w:pStyle w:val="a4"/>
              <w:tabs>
                <w:tab w:val="left" w:pos="358"/>
              </w:tabs>
              <w:spacing w:after="0"/>
              <w:ind w:left="0" w:firstLine="2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Витяг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з Державного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реєстру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речових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нерухоме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майно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бажанням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заявника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бути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отриманий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паперовій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3E2F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249E" w:rsidRPr="003E2F53" w:rsidRDefault="00B9249E" w:rsidP="00BB4FF8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відмову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скасуванні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державного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реєстратора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скасуванні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Державного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реєстру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речових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 на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нерухоме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майно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бажанням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заявника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бути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отримане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паперовій</w:t>
            </w:r>
            <w:proofErr w:type="spellEnd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2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формі</w:t>
            </w:r>
            <w:proofErr w:type="spellEnd"/>
          </w:p>
        </w:tc>
      </w:tr>
    </w:tbl>
    <w:p w:rsidR="00B9249E" w:rsidRPr="003E2F53" w:rsidRDefault="00B9249E" w:rsidP="00B9249E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*До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запровадження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інформаційної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взаємодії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між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Державним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реєстром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речових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прав на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нерухоме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майно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Єдиним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державним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реєстром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судових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рішень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, а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також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разі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проведення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реєстраційних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дій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підставі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рішень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судів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набрали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законної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сили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, до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запровадження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відповідної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інформаційної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взаємодії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реєстраційні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дії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підставі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рішень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судів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проводяться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за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зверненням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3E2F53">
        <w:rPr>
          <w:rFonts w:ascii="Times New Roman" w:hAnsi="Times New Roman" w:cs="Times New Roman"/>
          <w:color w:val="auto"/>
          <w:sz w:val="20"/>
          <w:szCs w:val="20"/>
        </w:rPr>
        <w:t>заявника</w:t>
      </w:r>
      <w:proofErr w:type="spellEnd"/>
      <w:r w:rsidRPr="003E2F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3E2F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B9249E" w:rsidRPr="003E2F53" w:rsidRDefault="00B9249E" w:rsidP="00B9249E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bookmarkStart w:id="0" w:name="_GoBack"/>
      <w:bookmarkEnd w:id="0"/>
      <w:r w:rsidRPr="003E2F53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Примітка: розроблено згідно типової інформаційної картки,</w:t>
      </w:r>
      <w:r w:rsidRPr="003E2F53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що  затверджена наказом Міністерства юстиції від 22.06.2018 №1952</w:t>
      </w:r>
    </w:p>
    <w:p w:rsidR="00CD1B50" w:rsidRDefault="00CD1B50" w:rsidP="00BA4992">
      <w:pPr>
        <w:spacing w:after="4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CD1B50" w:rsidSect="00CD1B50">
      <w:pgSz w:w="11906" w:h="16838"/>
      <w:pgMar w:top="574" w:right="707" w:bottom="65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3720A"/>
    <w:rsid w:val="00067C93"/>
    <w:rsid w:val="000F4B97"/>
    <w:rsid w:val="001238EC"/>
    <w:rsid w:val="0014206C"/>
    <w:rsid w:val="00231CED"/>
    <w:rsid w:val="003B4BA1"/>
    <w:rsid w:val="003D0763"/>
    <w:rsid w:val="004B66B2"/>
    <w:rsid w:val="004C209B"/>
    <w:rsid w:val="005517D7"/>
    <w:rsid w:val="005F14D1"/>
    <w:rsid w:val="005F461D"/>
    <w:rsid w:val="005F7D87"/>
    <w:rsid w:val="00696E74"/>
    <w:rsid w:val="006C5C8A"/>
    <w:rsid w:val="007B7666"/>
    <w:rsid w:val="00831B7D"/>
    <w:rsid w:val="008971EA"/>
    <w:rsid w:val="008D1212"/>
    <w:rsid w:val="00951A40"/>
    <w:rsid w:val="009C616C"/>
    <w:rsid w:val="009E5397"/>
    <w:rsid w:val="00A326BD"/>
    <w:rsid w:val="00A605AD"/>
    <w:rsid w:val="00AD647A"/>
    <w:rsid w:val="00B2093A"/>
    <w:rsid w:val="00B9249E"/>
    <w:rsid w:val="00BA4992"/>
    <w:rsid w:val="00BA72DD"/>
    <w:rsid w:val="00CC5EF1"/>
    <w:rsid w:val="00CD1B50"/>
    <w:rsid w:val="00CF27D8"/>
    <w:rsid w:val="00D148FA"/>
    <w:rsid w:val="00D779AC"/>
    <w:rsid w:val="00E030A5"/>
    <w:rsid w:val="00E52528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CC6D"/>
  <w15:docId w15:val="{407936B3-5798-4F7A-9EE0-8FF71A0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iPriority w:val="99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4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ozerka-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Білозерська ОТГ_ПК-2</cp:lastModifiedBy>
  <cp:revision>23</cp:revision>
  <cp:lastPrinted>2020-06-11T13:20:00Z</cp:lastPrinted>
  <dcterms:created xsi:type="dcterms:W3CDTF">2019-05-21T18:56:00Z</dcterms:created>
  <dcterms:modified xsi:type="dcterms:W3CDTF">2020-06-11T13:26:00Z</dcterms:modified>
</cp:coreProperties>
</file>